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937366">
        <w:rPr>
          <w:rFonts w:ascii="Times New Roman" w:eastAsia="DejaVu Sans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937366">
        <w:rPr>
          <w:rFonts w:ascii="Times New Roman" w:eastAsia="DejaVu Sans" w:hAnsi="Times New Roman" w:cs="Times New Roman"/>
          <w:sz w:val="24"/>
          <w:szCs w:val="24"/>
        </w:rPr>
        <w:t>«</w:t>
      </w:r>
      <w:proofErr w:type="spellStart"/>
      <w:r w:rsidRPr="00937366">
        <w:rPr>
          <w:rFonts w:ascii="Times New Roman" w:eastAsia="DejaVu Sans" w:hAnsi="Times New Roman" w:cs="Times New Roman"/>
          <w:sz w:val="24"/>
          <w:szCs w:val="24"/>
        </w:rPr>
        <w:t>Крапивенская</w:t>
      </w:r>
      <w:proofErr w:type="spellEnd"/>
      <w:r w:rsidRPr="00937366">
        <w:rPr>
          <w:rFonts w:ascii="Times New Roman" w:eastAsia="DejaVu Sans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proofErr w:type="spellStart"/>
      <w:r w:rsidRPr="00937366">
        <w:rPr>
          <w:rFonts w:ascii="Times New Roman" w:eastAsia="DejaVu Sans" w:hAnsi="Times New Roman" w:cs="Times New Roman"/>
          <w:sz w:val="24"/>
          <w:szCs w:val="24"/>
        </w:rPr>
        <w:t>Шебекинского</w:t>
      </w:r>
      <w:proofErr w:type="spellEnd"/>
      <w:r w:rsidRPr="00937366">
        <w:rPr>
          <w:rFonts w:ascii="Times New Roman" w:eastAsia="DejaVu Sans" w:hAnsi="Times New Roman" w:cs="Times New Roman"/>
          <w:sz w:val="24"/>
          <w:szCs w:val="24"/>
        </w:rPr>
        <w:t xml:space="preserve"> района Белгородской области»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72F977" wp14:editId="24D91922">
            <wp:simplePos x="0" y="0"/>
            <wp:positionH relativeFrom="column">
              <wp:posOffset>2479675</wp:posOffset>
            </wp:positionH>
            <wp:positionV relativeFrom="paragraph">
              <wp:posOffset>1837055</wp:posOffset>
            </wp:positionV>
            <wp:extent cx="3440430" cy="1694815"/>
            <wp:effectExtent l="0" t="0" r="7620" b="635"/>
            <wp:wrapNone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5EB18" wp14:editId="7338C4F8">
            <wp:extent cx="6438900" cy="2156460"/>
            <wp:effectExtent l="0" t="0" r="0" b="0"/>
            <wp:docPr id="2" name="Рисунок 2" descr="Утверждаю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Р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93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литературному чтению на родном языке (русском)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1-4 классов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начального общего образования</w:t>
      </w: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Pr="00937366" w:rsidRDefault="003965AC" w:rsidP="003965AC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3965AC" w:rsidRDefault="003965AC" w:rsidP="0039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5AC" w:rsidRPr="008D0293" w:rsidRDefault="003965AC" w:rsidP="0039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Рабочая программа учебного предмета </w:t>
      </w:r>
      <w:r w:rsidRPr="008D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языке (русском)</w:t>
      </w:r>
      <w:r w:rsidRPr="008D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уровень начального общего образования для обучающихся 1-4-х классов разработана в соответствии с требованиями: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закона от 29.12.2012 №273-ФЗ «Об образовании в Российской Федерации»;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приказа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приказа </w:t>
      </w:r>
      <w:proofErr w:type="spellStart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18.05.2023 №370 «Об утверждении федеральной образовательной программы основного общего образования»;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рабочей программы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языке (русском)</w:t>
      </w: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3965AC" w:rsidRPr="008D0293" w:rsidRDefault="003965AC" w:rsidP="0039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965AC" w:rsidRPr="008D0293" w:rsidRDefault="003965AC" w:rsidP="0039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Связь с рабочей программой воспитания школы</w:t>
      </w:r>
    </w:p>
    <w:p w:rsidR="003965AC" w:rsidRPr="008D0293" w:rsidRDefault="003965AC" w:rsidP="0039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воспитательного потенциала уроков информатики (урочной деятельности, аудиторных занятий в рамках максимально допустимой учебной нагрузки) предусматривает: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побуждение </w:t>
      </w:r>
      <w:proofErr w:type="gramStart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организацию наставничества </w:t>
      </w:r>
      <w:proofErr w:type="gramStart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мотивированных</w:t>
      </w:r>
      <w:proofErr w:type="gramEnd"/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965AC" w:rsidRPr="008D0293" w:rsidRDefault="003965AC" w:rsidP="00396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965AC" w:rsidRPr="002625C0" w:rsidRDefault="003965AC" w:rsidP="0039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8D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языке (русском)</w:t>
      </w:r>
      <w:r w:rsidRPr="008D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D02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уровне начального общего образования».</w:t>
      </w: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FB" w:rsidRDefault="007838FB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2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965AC" w:rsidRPr="002D6460" w:rsidRDefault="003965AC" w:rsidP="003965AC">
      <w:pPr>
        <w:widowControl w:val="0"/>
        <w:autoSpaceDE w:val="0"/>
        <w:autoSpaceDN w:val="0"/>
        <w:spacing w:before="2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Результаты изучения предмета «Литературное чтение на родном (русском) языке» в составе предметной области «Родной язык и</w:t>
      </w:r>
      <w:r w:rsidRPr="002D646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3965AC" w:rsidRPr="002D6460" w:rsidRDefault="003965AC" w:rsidP="003965A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AC" w:rsidRPr="002D6460" w:rsidRDefault="003965AC" w:rsidP="003965AC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Личностные</w:t>
      </w:r>
      <w:r w:rsidRPr="002D64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3965AC" w:rsidRPr="002D6460" w:rsidRDefault="003965AC" w:rsidP="003965AC">
      <w:pPr>
        <w:widowControl w:val="0"/>
        <w:autoSpaceDE w:val="0"/>
        <w:autoSpaceDN w:val="0"/>
        <w:spacing w:before="1"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гражданско-патриотического</w:t>
      </w:r>
      <w:r w:rsidRPr="002D646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2D646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 культуру страны;</w:t>
      </w:r>
    </w:p>
    <w:p w:rsidR="003965AC" w:rsidRPr="002D6460" w:rsidRDefault="003965AC" w:rsidP="003965AC">
      <w:pPr>
        <w:widowControl w:val="0"/>
        <w:tabs>
          <w:tab w:val="left" w:pos="3094"/>
          <w:tab w:val="left" w:pos="4115"/>
          <w:tab w:val="left" w:pos="6393"/>
          <w:tab w:val="left" w:pos="6897"/>
          <w:tab w:val="left" w:pos="86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осознание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>своей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>этнокультурной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46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гражданской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2D64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2D64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2D64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2D64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2D64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64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D64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языка Российской Федерации и языка межнационального общения народов России; сопричастность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прошлому,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родного края, в том числе через обсуждение ситуаций при работе с художественными произведениями;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формируемое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основе примеров из художественных произведений и фольклора;</w:t>
      </w:r>
    </w:p>
    <w:p w:rsidR="003965AC" w:rsidRPr="002D6460" w:rsidRDefault="003965AC" w:rsidP="003965A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</w:t>
      </w:r>
      <w:r w:rsidRPr="002D64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правах и ответственности, уважении и достоинстве человека, о нравственн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духовно-нравственного</w:t>
      </w:r>
      <w:r w:rsidRPr="002D646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2D646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</w:t>
      </w:r>
      <w:r w:rsidRPr="002D64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64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D64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2D64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2D64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2D64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64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2D64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общения;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научной картине мира,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формируемые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познавательные   интересы,   активность,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чтения на родном (русском) языке» у обучающегося будут сформированы следующие </w:t>
      </w:r>
      <w:r w:rsidRPr="002D6460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объединять объекты (тексты) по определённому признаку;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2D64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начальной школе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формируются</w:t>
      </w:r>
    </w:p>
    <w:p w:rsidR="003965AC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формулировать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суждения,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выражать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эмоции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целями и условиями общения в знакомой среде;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 создавать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устные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тексты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(описание,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рассуждение,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повествование) в соответствии с речевой ситуацией;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исследования, проектного задания;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3965AC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начальной школе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формируются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</w:t>
      </w:r>
      <w:r w:rsidRPr="002D64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корректировать свои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учебные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преодоления</w:t>
      </w:r>
      <w:r w:rsidRPr="002D6460">
        <w:rPr>
          <w:rFonts w:ascii="Times New Roman" w:eastAsia="Times New Roman" w:hAnsi="Times New Roman" w:cs="Times New Roman"/>
          <w:sz w:val="24"/>
          <w:szCs w:val="24"/>
        </w:rPr>
        <w:tab/>
        <w:t>речевых ошибок и ошибок, связанных с анализом текстов;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находить ошибку, допущенную при работе с текстами;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сравнивать результаты своей деятельности и деятельности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одноклассников, объективно оценивать их по предложенным критериям.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D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60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русской литературы для личного развития; для культурной самоидентификации;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460">
        <w:rPr>
          <w:rFonts w:ascii="Times New Roman" w:eastAsia="Times New Roman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</w:t>
      </w:r>
    </w:p>
    <w:p w:rsidR="003965AC" w:rsidRPr="002D6460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60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3965AC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AC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C0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речевой деятельности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Слушание.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Говорение.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Чтение.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ситуации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общения: с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целью, с кем и где происходит общение?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 с учетом ситуации общения. Овладение умениями ведения разговора (начать, поддержать, закончить разговор, привлечь внимание и т. п.).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Последовательность предложений в тексте.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Последовательность частей текста (абзацев).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текста. Составление планов к заданным текстам. Создание собственных текстов по предложенным и самостоятельно составленным планам.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Типы текстов: описание, повествование, рассуждение, их особенности.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Лексика.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Умение слушать (</w:t>
      </w:r>
      <w:proofErr w:type="spellStart"/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умения наблюдать за выразительностью речи, за особенностью авторского стиля.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Чтение </w:t>
      </w:r>
      <w:proofErr w:type="spellStart"/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Чтение</w:t>
      </w:r>
      <w:proofErr w:type="spellEnd"/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вслух. Ориентация на развитие речевой культуры учащихся формирование у них коммуникативно-речевых умений и навыков. Постепенный переход от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слогового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синтонационным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азвитие умения переходить от чтения вслух и чтению про себя. Чтение про себя. Осознание смысла произведения при чтении про себя (доступных по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объѐму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жанру произведений). Определение вида чтения (изучающее, ознакомительное, выборочное), умение находить в тексте необходимую информацию, понимание ее особенностей.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с разными видами текста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Практическое освоение умения отличать текст от набора предложений. Прогнозирование содержания книги по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еѐ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названию и оформлению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Библиографическая культура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самостоятельно составить аннотацию Виды информации в книге: научная, художественная (с опорой на внешние показатели книги,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еѐ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справочно-иллюстративный материал.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амостоятельный выбор книг на основе рекомендательного списка,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с текстом художественного произведения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 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имен героев. Освоение разных видов пересказа художественного текста: подробный, выборочный и краткий (передача основных мыслей)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одробный пересказ текста (деление текста на части, определение главной мысли каждой части и всего текста,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 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эпизодовиз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разных произведений по общности ситуаций, эмоциональной окраске, характеру поступков героев.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с научно-популярным, учебным и другими текстами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</w:t>
      </w:r>
      <w:proofErr w:type="spellStart"/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приѐмами</w:t>
      </w:r>
      <w:proofErr w:type="spellEnd"/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</w:t>
      </w:r>
    </w:p>
    <w:p w:rsidR="003965AC" w:rsidRPr="00D474DE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Умение говорить (культура речевого общения)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Работа со словом (распознавать прямое и переносное значение слов, их </w:t>
      </w: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многозначность), целенаправленное пополнение активного словарного запаса. Работа со словарями. Умение построить монологическое речевое высказывание небольшого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объѐма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учѐтом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специфики научно-популярного, учебного и художественного текстов. </w:t>
      </w:r>
      <w:proofErr w:type="gram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</w:t>
      </w:r>
      <w:proofErr w:type="spellStart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>учѐтом</w:t>
      </w:r>
      <w:proofErr w:type="spellEnd"/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особенностей монологического высказывания. </w:t>
      </w:r>
    </w:p>
    <w:p w:rsidR="003965AC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3965AC" w:rsidRDefault="003965AC" w:rsidP="003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65AC" w:rsidRDefault="003965AC" w:rsidP="0039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625C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3965AC" w:rsidRPr="00A060F9" w:rsidRDefault="003965AC" w:rsidP="003965A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0F9">
        <w:rPr>
          <w:rFonts w:ascii="Times New Roman" w:eastAsia="Calibri" w:hAnsi="Times New Roman" w:cs="Times New Roman"/>
          <w:b/>
          <w:sz w:val="24"/>
          <w:szCs w:val="24"/>
        </w:rPr>
        <w:t xml:space="preserve">1 класс </w:t>
      </w:r>
    </w:p>
    <w:tbl>
      <w:tblPr>
        <w:tblStyle w:val="1"/>
        <w:tblpPr w:leftFromText="180" w:rightFromText="180" w:vertAnchor="text" w:horzAnchor="margin" w:tblpXSpec="center" w:tblpY="214"/>
        <w:tblW w:w="9889" w:type="dxa"/>
        <w:tblLook w:val="04A0" w:firstRow="1" w:lastRow="0" w:firstColumn="1" w:lastColumn="0" w:noHBand="0" w:noVBand="1"/>
      </w:tblPr>
      <w:tblGrid>
        <w:gridCol w:w="678"/>
        <w:gridCol w:w="2124"/>
        <w:gridCol w:w="992"/>
        <w:gridCol w:w="6095"/>
      </w:tblGrid>
      <w:tr w:rsidR="003965AC" w:rsidRPr="00D474DE" w:rsidTr="003965AC">
        <w:tc>
          <w:tcPr>
            <w:tcW w:w="678" w:type="dxa"/>
            <w:shd w:val="clear" w:color="auto" w:fill="auto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</w:tcPr>
          <w:p w:rsidR="003965AC" w:rsidRPr="008D0293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аспект</w:t>
            </w:r>
          </w:p>
        </w:tc>
      </w:tr>
      <w:tr w:rsidR="003965AC" w:rsidRPr="00D474DE" w:rsidTr="003965AC">
        <w:tc>
          <w:tcPr>
            <w:tcW w:w="678" w:type="dxa"/>
            <w:shd w:val="clear" w:color="auto" w:fill="auto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нашего народа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      </w: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Времена года 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095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09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65AC" w:rsidRPr="00D474DE" w:rsidRDefault="003965AC" w:rsidP="003965A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474DE">
        <w:rPr>
          <w:rFonts w:ascii="Times New Roman" w:eastAsia="Calibri" w:hAnsi="Times New Roman" w:cs="Times New Roman"/>
          <w:b/>
          <w:sz w:val="28"/>
          <w:szCs w:val="24"/>
        </w:rPr>
        <w:t>2 класс</w:t>
      </w:r>
    </w:p>
    <w:tbl>
      <w:tblPr>
        <w:tblStyle w:val="1"/>
        <w:tblpPr w:leftFromText="180" w:rightFromText="180" w:vertAnchor="text" w:horzAnchor="margin" w:tblpY="170"/>
        <w:tblW w:w="9606" w:type="dxa"/>
        <w:tblLook w:val="04A0" w:firstRow="1" w:lastRow="0" w:firstColumn="1" w:lastColumn="0" w:noHBand="0" w:noVBand="1"/>
      </w:tblPr>
      <w:tblGrid>
        <w:gridCol w:w="678"/>
        <w:gridCol w:w="2265"/>
        <w:gridCol w:w="851"/>
        <w:gridCol w:w="5812"/>
      </w:tblGrid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нашего народа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О братьях наших меньших 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67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65AC" w:rsidRDefault="003965AC" w:rsidP="003965AC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3965AC" w:rsidRPr="00D474DE" w:rsidRDefault="003965AC" w:rsidP="003965A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474DE">
        <w:rPr>
          <w:rFonts w:ascii="Times New Roman" w:eastAsia="Calibri" w:hAnsi="Times New Roman" w:cs="Times New Roman"/>
          <w:b/>
          <w:sz w:val="28"/>
          <w:szCs w:val="24"/>
        </w:rPr>
        <w:t>3 класс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5812"/>
      </w:tblGrid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нашего народа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65AC" w:rsidRPr="00D474DE" w:rsidRDefault="003965AC" w:rsidP="003965A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965AC" w:rsidRPr="00D474DE" w:rsidRDefault="003965AC" w:rsidP="003965A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474DE">
        <w:rPr>
          <w:rFonts w:ascii="Times New Roman" w:eastAsia="Calibri" w:hAnsi="Times New Roman" w:cs="Times New Roman"/>
          <w:b/>
          <w:sz w:val="28"/>
          <w:szCs w:val="24"/>
        </w:rPr>
        <w:t>4 класс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5812"/>
      </w:tblGrid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нашего народа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 w:val="restart"/>
          </w:tcPr>
          <w:p w:rsidR="003965AC" w:rsidRPr="008D0293" w:rsidRDefault="003965AC" w:rsidP="003965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D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vMerge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65AC" w:rsidRPr="00D474DE" w:rsidTr="003965AC">
        <w:tc>
          <w:tcPr>
            <w:tcW w:w="709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965AC" w:rsidRPr="00D474DE" w:rsidRDefault="003965AC" w:rsidP="003965AC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65AC" w:rsidRDefault="003965AC" w:rsidP="00396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965" w:rsidRDefault="00F77965"/>
    <w:sectPr w:rsidR="00F7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5ED"/>
    <w:multiLevelType w:val="hybridMultilevel"/>
    <w:tmpl w:val="707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C"/>
    <w:rsid w:val="003965AC"/>
    <w:rsid w:val="007838FB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9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9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2023-10-01T13:08:00Z</dcterms:created>
  <dcterms:modified xsi:type="dcterms:W3CDTF">2023-10-01T13:16:00Z</dcterms:modified>
</cp:coreProperties>
</file>